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E82" w:rsidRPr="00A22BFE" w:rsidRDefault="00C431A8" w:rsidP="00115E6C">
      <w:pPr>
        <w:pStyle w:val="Nzev"/>
        <w:rPr>
          <w:caps w:val="0"/>
          <w:sz w:val="24"/>
          <w:szCs w:val="24"/>
          <w:lang w:val="en-GB"/>
        </w:rPr>
      </w:pPr>
      <w:r w:rsidRPr="00A22BFE">
        <w:rPr>
          <w:sz w:val="24"/>
          <w:szCs w:val="24"/>
          <w:lang w:val="en-GB"/>
        </w:rPr>
        <w:t>PRICE BREAKDOWN AND PAYMENT SCHEDULE</w:t>
      </w:r>
    </w:p>
    <w:p w:rsidR="00A36E82" w:rsidRPr="00A22BFE" w:rsidRDefault="00885A15" w:rsidP="00115E6C">
      <w:pPr>
        <w:jc w:val="center"/>
        <w:rPr>
          <w:lang w:val="en-GB"/>
        </w:rPr>
      </w:pPr>
      <w:r w:rsidRPr="00A22BFE">
        <w:rPr>
          <w:lang w:val="en-GB"/>
        </w:rPr>
        <w:t>(</w:t>
      </w:r>
      <w:r w:rsidR="005D2E83" w:rsidRPr="00A22BFE">
        <w:rPr>
          <w:lang w:val="en-GB"/>
        </w:rPr>
        <w:t>Fill in the basic price breakdown and add further items if so needed</w:t>
      </w:r>
      <w:r w:rsidR="00A36E82" w:rsidRPr="00A22BFE">
        <w:rPr>
          <w:lang w:val="en-GB"/>
        </w:rPr>
        <w:t>)</w:t>
      </w:r>
    </w:p>
    <w:p w:rsidR="00A36E82" w:rsidRPr="00A22BFE" w:rsidRDefault="00A36E82" w:rsidP="00A36E82">
      <w:pPr>
        <w:ind w:left="840"/>
        <w:rPr>
          <w:lang w:val="en-GB"/>
        </w:rPr>
      </w:pPr>
    </w:p>
    <w:p w:rsidR="00E94F77" w:rsidRPr="00A22BFE" w:rsidRDefault="005D2E83" w:rsidP="00E94F77">
      <w:pPr>
        <w:jc w:val="center"/>
        <w:rPr>
          <w:b/>
          <w:bCs/>
          <w:lang w:val="en-GB"/>
        </w:rPr>
      </w:pPr>
      <w:r w:rsidRPr="00A22BFE">
        <w:rPr>
          <w:b/>
          <w:lang w:val="en-GB"/>
        </w:rPr>
        <w:t>Project title</w:t>
      </w:r>
      <w:r w:rsidR="00A36E82" w:rsidRPr="00A22BFE">
        <w:rPr>
          <w:b/>
          <w:lang w:val="en-GB"/>
        </w:rPr>
        <w:t xml:space="preserve">: </w:t>
      </w:r>
      <w:r w:rsidR="00A14C79" w:rsidRPr="00A22BFE">
        <w:rPr>
          <w:b/>
          <w:bCs/>
          <w:lang w:val="en-GB"/>
        </w:rPr>
        <w:t>„</w:t>
      </w:r>
      <w:r w:rsidR="00B66B3F" w:rsidRPr="00B66B3F">
        <w:rPr>
          <w:b/>
          <w:bCs/>
          <w:lang w:val="en-GB"/>
        </w:rPr>
        <w:t xml:space="preserve"> </w:t>
      </w:r>
      <w:r w:rsidR="009556B1" w:rsidRPr="009556B1">
        <w:rPr>
          <w:b/>
          <w:bCs/>
          <w:highlight w:val="yellow"/>
          <w:lang w:val="en-GB"/>
        </w:rPr>
        <w:t>XXXXXXXXX</w:t>
      </w:r>
      <w:r w:rsidR="00106E0A" w:rsidRPr="00106E0A">
        <w:rPr>
          <w:b/>
          <w:bCs/>
          <w:lang w:val="en-GB"/>
        </w:rPr>
        <w:t xml:space="preserve"> </w:t>
      </w:r>
      <w:r w:rsidR="00E94F77" w:rsidRPr="00A22BFE">
        <w:rPr>
          <w:b/>
          <w:bCs/>
          <w:lang w:val="en-GB"/>
        </w:rPr>
        <w:t>“</w:t>
      </w:r>
      <w:bookmarkStart w:id="0" w:name="_GoBack"/>
      <w:bookmarkEnd w:id="0"/>
    </w:p>
    <w:p w:rsidR="00A36E82" w:rsidRPr="00A22BFE" w:rsidRDefault="00A36E82" w:rsidP="00A36E82">
      <w:pPr>
        <w:ind w:left="3402" w:hanging="3402"/>
        <w:rPr>
          <w:rStyle w:val="slostrnky"/>
          <w:b/>
          <w:color w:val="0000FF"/>
          <w:lang w:val="en-GB"/>
        </w:rPr>
      </w:pPr>
    </w:p>
    <w:p w:rsidR="00A36E82" w:rsidRPr="00A22BFE" w:rsidRDefault="005D2E83" w:rsidP="00A36E82">
      <w:pPr>
        <w:ind w:left="3402" w:hanging="3402"/>
        <w:rPr>
          <w:b/>
          <w:lang w:val="en-GB"/>
        </w:rPr>
      </w:pPr>
      <w:r w:rsidRPr="00A22BFE">
        <w:rPr>
          <w:b/>
          <w:lang w:val="en-GB"/>
        </w:rPr>
        <w:t>Construction reference No</w:t>
      </w:r>
      <w:r w:rsidR="00A36E82" w:rsidRPr="00A22BFE">
        <w:rPr>
          <w:b/>
          <w:lang w:val="en-GB"/>
        </w:rPr>
        <w:t xml:space="preserve">: </w:t>
      </w:r>
    </w:p>
    <w:p w:rsidR="00A36E82" w:rsidRPr="00A22BFE" w:rsidRDefault="00A36E82" w:rsidP="00A36E82">
      <w:pPr>
        <w:ind w:left="3402" w:hanging="3402"/>
        <w:rPr>
          <w:b/>
          <w:bCs/>
          <w:lang w:val="en-GB"/>
        </w:rPr>
      </w:pPr>
    </w:p>
    <w:p w:rsidR="00A36E82" w:rsidRDefault="00ED7AD2" w:rsidP="00A36E82">
      <w:pPr>
        <w:rPr>
          <w:bCs/>
          <w:lang w:val="en-GB"/>
        </w:rPr>
      </w:pPr>
      <w:r w:rsidRPr="00A22BFE">
        <w:rPr>
          <w:bCs/>
          <w:lang w:val="en-GB"/>
        </w:rPr>
        <w:t>The price breakdown will be developed in the form of detailed list of rates and at least in the structure as stated in the table below (</w:t>
      </w:r>
      <w:r w:rsidR="00903D6E">
        <w:rPr>
          <w:lang w:val="en-GB"/>
        </w:rPr>
        <w:t xml:space="preserve">for description of items and variants see chapter 8 in “Tender Technical Conditions” document </w:t>
      </w:r>
      <w:r w:rsidRPr="00A22BFE">
        <w:rPr>
          <w:bCs/>
          <w:lang w:val="en-GB"/>
        </w:rPr>
        <w:t>). The prices are in CZK</w:t>
      </w:r>
      <w:r w:rsidR="00653548" w:rsidRPr="00A22BFE">
        <w:rPr>
          <w:bCs/>
          <w:lang w:val="en-GB"/>
        </w:rPr>
        <w:t xml:space="preserve"> without VAT</w:t>
      </w:r>
      <w:r w:rsidRPr="00A22BFE">
        <w:rPr>
          <w:bCs/>
          <w:lang w:val="en-GB"/>
        </w:rPr>
        <w:t>.</w:t>
      </w:r>
    </w:p>
    <w:p w:rsidR="00903D6E" w:rsidRDefault="00903D6E" w:rsidP="00A36E82">
      <w:pPr>
        <w:rPr>
          <w:bCs/>
          <w:lang w:val="en-GB"/>
        </w:rPr>
      </w:pPr>
    </w:p>
    <w:p w:rsidR="00903D6E" w:rsidRPr="00A22BFE" w:rsidRDefault="00903D6E" w:rsidP="00A36E82">
      <w:pPr>
        <w:rPr>
          <w:bCs/>
          <w:lang w:val="en-GB"/>
        </w:rPr>
      </w:pPr>
    </w:p>
    <w:p w:rsidR="00A36E82" w:rsidRPr="00A22BFE" w:rsidRDefault="00585470" w:rsidP="00A36E82">
      <w:pPr>
        <w:rPr>
          <w:b/>
          <w:bCs/>
          <w:lang w:val="en-GB"/>
        </w:rPr>
      </w:pPr>
      <w:r w:rsidRPr="00A22BFE">
        <w:rPr>
          <w:b/>
          <w:iCs/>
          <w:lang w:val="en-GB"/>
        </w:rPr>
        <w:t>The price breakdown is an inseparable part of the price bid</w:t>
      </w:r>
    </w:p>
    <w:p w:rsidR="00885A15" w:rsidRPr="00A22BFE" w:rsidRDefault="00885A15" w:rsidP="00A36E82">
      <w:pPr>
        <w:rPr>
          <w:lang w:val="en-GB"/>
        </w:rPr>
      </w:pPr>
    </w:p>
    <w:p w:rsidR="00A36E82" w:rsidRPr="00A22BFE" w:rsidRDefault="002D4480" w:rsidP="00A36E82">
      <w:pPr>
        <w:rPr>
          <w:lang w:val="en-GB"/>
        </w:rPr>
      </w:pPr>
      <w:r w:rsidRPr="00A22BFE">
        <w:rPr>
          <w:lang w:val="en-GB"/>
        </w:rPr>
        <w:t xml:space="preserve">For the instance of emergence of extra work or cancelled work in the course of the project implementation, the price breakdown </w:t>
      </w:r>
      <w:r w:rsidR="00903D6E">
        <w:rPr>
          <w:lang w:val="en-GB"/>
        </w:rPr>
        <w:t>is</w:t>
      </w:r>
      <w:r w:rsidRPr="00A22BFE">
        <w:rPr>
          <w:lang w:val="en-GB"/>
        </w:rPr>
        <w:t xml:space="preserve"> amended with list of hourly </w:t>
      </w:r>
      <w:r w:rsidR="00115338" w:rsidRPr="00A22BFE">
        <w:rPr>
          <w:lang w:val="en-GB"/>
        </w:rPr>
        <w:t>rates</w:t>
      </w:r>
      <w:r w:rsidR="00115338">
        <w:rPr>
          <w:lang w:val="en-GB"/>
        </w:rPr>
        <w:t xml:space="preserve"> individual</w:t>
      </w:r>
      <w:r w:rsidRPr="00A22BFE">
        <w:rPr>
          <w:lang w:val="en-GB"/>
        </w:rPr>
        <w:t xml:space="preserve"> disciplines involved in the project implementation</w:t>
      </w:r>
      <w:r w:rsidR="00474CF8">
        <w:rPr>
          <w:lang w:val="en-GB"/>
        </w:rPr>
        <w:t xml:space="preserve"> (</w:t>
      </w:r>
      <w:r w:rsidR="00903D6E">
        <w:rPr>
          <w:lang w:val="en-GB"/>
        </w:rPr>
        <w:t xml:space="preserve">see </w:t>
      </w:r>
      <w:r w:rsidR="00474CF8">
        <w:rPr>
          <w:lang w:val="en-GB"/>
        </w:rPr>
        <w:t>appendix 3</w:t>
      </w:r>
      <w:r w:rsidR="00474CF8" w:rsidRPr="00A22BFE">
        <w:rPr>
          <w:lang w:val="en-GB"/>
        </w:rPr>
        <w:t xml:space="preserve"> of </w:t>
      </w:r>
      <w:r w:rsidR="00474CF8">
        <w:rPr>
          <w:lang w:val="en-GB"/>
        </w:rPr>
        <w:t>Contract)</w:t>
      </w:r>
      <w:r w:rsidRPr="00A22BFE">
        <w:rPr>
          <w:lang w:val="en-GB"/>
        </w:rPr>
        <w:t xml:space="preserve">. </w:t>
      </w:r>
    </w:p>
    <w:p w:rsidR="009731DB" w:rsidRPr="00A22BFE" w:rsidRDefault="009731DB" w:rsidP="009731DB">
      <w:pPr>
        <w:rPr>
          <w:lang w:val="en-GB"/>
        </w:rPr>
      </w:pPr>
    </w:p>
    <w:p w:rsidR="00CC4FD2" w:rsidRPr="00A22BFE" w:rsidRDefault="00447B6A" w:rsidP="009731DB">
      <w:pPr>
        <w:tabs>
          <w:tab w:val="left" w:pos="2385"/>
        </w:tabs>
        <w:rPr>
          <w:b/>
          <w:lang w:val="en-GB"/>
        </w:rPr>
      </w:pPr>
      <w:r w:rsidRPr="00A22BFE">
        <w:rPr>
          <w:b/>
          <w:lang w:val="en-GB"/>
        </w:rPr>
        <w:t>Payment Schedule</w:t>
      </w:r>
    </w:p>
    <w:p w:rsidR="00CC4FD2" w:rsidRPr="00115338" w:rsidRDefault="00447B6A" w:rsidP="00115338">
      <w:pPr>
        <w:pStyle w:val="Nadpis2"/>
        <w:numPr>
          <w:ilvl w:val="0"/>
          <w:numId w:val="0"/>
        </w:numPr>
        <w:rPr>
          <w:szCs w:val="24"/>
          <w:lang w:val="en-GB"/>
        </w:rPr>
      </w:pPr>
      <w:r w:rsidRPr="00A22BFE">
        <w:rPr>
          <w:szCs w:val="24"/>
          <w:lang w:val="en-GB"/>
        </w:rPr>
        <w:t>The below prices do not include VAT</w:t>
      </w:r>
    </w:p>
    <w:tbl>
      <w:tblPr>
        <w:tblW w:w="7626" w:type="dxa"/>
        <w:tblInd w:w="4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2298"/>
        <w:gridCol w:w="2379"/>
        <w:gridCol w:w="2552"/>
      </w:tblGrid>
      <w:tr w:rsidR="0051670C" w:rsidRPr="00A22BFE" w:rsidTr="0051670C">
        <w:trPr>
          <w:trHeight w:val="33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rFonts w:eastAsia="Arial Unicode MS"/>
                <w:b/>
                <w:bCs/>
                <w:lang w:val="en-GB"/>
              </w:rPr>
            </w:pPr>
            <w:r w:rsidRPr="00A22BFE">
              <w:rPr>
                <w:rFonts w:eastAsia="Arial Unicode MS"/>
                <w:b/>
                <w:bCs/>
                <w:lang w:val="en-GB"/>
              </w:rPr>
              <w:t>It.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rFonts w:eastAsia="Arial Unicode MS"/>
                <w:b/>
                <w:bCs/>
                <w:lang w:val="en-GB"/>
              </w:rPr>
            </w:pPr>
            <w:r w:rsidRPr="00A22BFE">
              <w:rPr>
                <w:b/>
                <w:bCs/>
                <w:lang w:val="en-GB"/>
              </w:rPr>
              <w:t xml:space="preserve">Partial performance 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rFonts w:eastAsia="Arial Unicode MS"/>
                <w:b/>
                <w:bCs/>
                <w:lang w:val="en-GB"/>
              </w:rPr>
            </w:pPr>
            <w:r w:rsidRPr="00A22BFE">
              <w:rPr>
                <w:b/>
                <w:bCs/>
                <w:lang w:val="en-GB"/>
              </w:rPr>
              <w:t xml:space="preserve">Invoicing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rFonts w:eastAsia="Arial Unicode MS"/>
                <w:b/>
                <w:bCs/>
                <w:lang w:val="en-GB"/>
              </w:rPr>
            </w:pPr>
            <w:r w:rsidRPr="00A22BFE">
              <w:rPr>
                <w:b/>
                <w:bCs/>
                <w:lang w:val="en-GB"/>
              </w:rPr>
              <w:t>Document constituting the right to issue invoice for partial performance</w:t>
            </w:r>
          </w:p>
        </w:tc>
      </w:tr>
      <w:tr w:rsidR="0051670C" w:rsidRPr="00A22BFE" w:rsidTr="0051670C">
        <w:trPr>
          <w:trHeight w:val="63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rFonts w:eastAsia="Arial Unicode MS"/>
                <w:bCs/>
                <w:lang w:val="en-GB"/>
              </w:rPr>
            </w:pPr>
            <w:r>
              <w:rPr>
                <w:rFonts w:eastAsia="Arial Unicode MS"/>
                <w:bCs/>
                <w:lang w:val="en-GB"/>
              </w:rPr>
              <w:t>1.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bCs/>
                <w:lang w:val="en-GB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854BE4">
            <w:pPr>
              <w:ind w:right="127"/>
              <w:jc w:val="center"/>
              <w:rPr>
                <w:i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ind w:left="76"/>
              <w:rPr>
                <w:bCs/>
                <w:lang w:val="en-GB"/>
              </w:rPr>
            </w:pPr>
          </w:p>
        </w:tc>
      </w:tr>
      <w:tr w:rsidR="0051670C" w:rsidRPr="00A22BFE" w:rsidTr="0051670C">
        <w:trPr>
          <w:trHeight w:val="63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rFonts w:eastAsia="Arial Unicode MS"/>
                <w:bCs/>
                <w:lang w:val="en-GB"/>
              </w:rPr>
            </w:pPr>
            <w:r>
              <w:rPr>
                <w:rFonts w:eastAsia="Arial Unicode MS"/>
                <w:bCs/>
                <w:lang w:val="en-GB"/>
              </w:rPr>
              <w:t>2</w:t>
            </w:r>
            <w:r w:rsidRPr="00A22BFE">
              <w:rPr>
                <w:rFonts w:eastAsia="Arial Unicode MS"/>
                <w:bCs/>
                <w:lang w:val="en-GB"/>
              </w:rPr>
              <w:t>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rFonts w:eastAsia="Arial Unicode MS"/>
                <w:bCs/>
                <w:lang w:val="en-GB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80D4A" w:rsidRDefault="0051670C" w:rsidP="00854BE4">
            <w:pPr>
              <w:ind w:right="127"/>
              <w:jc w:val="center"/>
              <w:rPr>
                <w:rFonts w:eastAsia="Arial Unicode MS"/>
                <w:b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ind w:left="76"/>
              <w:rPr>
                <w:rFonts w:eastAsia="Arial Unicode MS"/>
                <w:bCs/>
                <w:lang w:val="en-GB"/>
              </w:rPr>
            </w:pPr>
          </w:p>
        </w:tc>
      </w:tr>
      <w:tr w:rsidR="0051670C" w:rsidRPr="00A22BFE" w:rsidTr="0051670C">
        <w:trPr>
          <w:trHeight w:val="63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rFonts w:eastAsia="Arial Unicode MS"/>
                <w:bCs/>
                <w:lang w:val="en-GB"/>
              </w:rPr>
            </w:pPr>
            <w:r>
              <w:rPr>
                <w:rFonts w:eastAsia="Arial Unicode MS"/>
                <w:bCs/>
                <w:lang w:val="en-GB"/>
              </w:rPr>
              <w:t>3</w:t>
            </w:r>
            <w:r w:rsidRPr="00A22BFE">
              <w:rPr>
                <w:rFonts w:eastAsia="Arial Unicode MS"/>
                <w:bCs/>
                <w:lang w:val="en-GB"/>
              </w:rPr>
              <w:t>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C9558B">
            <w:pPr>
              <w:jc w:val="center"/>
              <w:rPr>
                <w:rFonts w:eastAsia="Arial Unicode MS"/>
                <w:bCs/>
                <w:lang w:val="en-GB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80D4A" w:rsidRDefault="0051670C" w:rsidP="008C501B">
            <w:pPr>
              <w:ind w:right="127"/>
              <w:jc w:val="center"/>
              <w:rPr>
                <w:rFonts w:eastAsia="Arial Unicode MS"/>
                <w:b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ind w:left="76"/>
              <w:rPr>
                <w:rFonts w:eastAsia="Arial Unicode MS"/>
                <w:bCs/>
                <w:lang w:val="en-GB"/>
              </w:rPr>
            </w:pPr>
          </w:p>
        </w:tc>
      </w:tr>
      <w:tr w:rsidR="0051670C" w:rsidRPr="00A22BFE" w:rsidTr="0051670C">
        <w:trPr>
          <w:trHeight w:val="63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Del="006A207F" w:rsidRDefault="0051670C" w:rsidP="00531A6A">
            <w:pPr>
              <w:jc w:val="center"/>
              <w:rPr>
                <w:rFonts w:eastAsia="Arial Unicode MS"/>
                <w:bCs/>
                <w:lang w:val="en-GB"/>
              </w:rPr>
            </w:pPr>
            <w:r>
              <w:rPr>
                <w:rFonts w:eastAsia="Arial Unicode MS"/>
                <w:bCs/>
                <w:lang w:val="en-GB"/>
              </w:rPr>
              <w:t>4.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D147D9">
            <w:pPr>
              <w:jc w:val="center"/>
              <w:rPr>
                <w:bCs/>
                <w:lang w:val="en-GB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80D4A" w:rsidDel="00990E4E" w:rsidRDefault="0051670C" w:rsidP="00C9558B">
            <w:pPr>
              <w:ind w:right="127"/>
              <w:jc w:val="center"/>
              <w:rPr>
                <w:b/>
                <w:i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C9558B">
            <w:pPr>
              <w:ind w:left="76"/>
              <w:rPr>
                <w:bCs/>
                <w:lang w:val="en-GB"/>
              </w:rPr>
            </w:pPr>
          </w:p>
        </w:tc>
      </w:tr>
      <w:tr w:rsidR="0051670C" w:rsidRPr="00A22BFE" w:rsidTr="0051670C">
        <w:trPr>
          <w:trHeight w:val="63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C9558B">
            <w:pPr>
              <w:jc w:val="center"/>
              <w:rPr>
                <w:rFonts w:eastAsia="Arial Unicode MS"/>
                <w:bCs/>
                <w:lang w:val="en-GB"/>
              </w:rPr>
            </w:pPr>
            <w:r>
              <w:rPr>
                <w:rFonts w:eastAsia="Arial Unicode MS"/>
                <w:bCs/>
                <w:lang w:val="en-GB"/>
              </w:rPr>
              <w:t>5</w:t>
            </w:r>
            <w:r w:rsidRPr="00A22BFE">
              <w:rPr>
                <w:rFonts w:eastAsia="Arial Unicode MS"/>
                <w:bCs/>
                <w:lang w:val="en-GB"/>
              </w:rPr>
              <w:t>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990E4E">
            <w:pPr>
              <w:jc w:val="center"/>
              <w:rPr>
                <w:rFonts w:eastAsia="Arial Unicode MS"/>
                <w:bCs/>
                <w:lang w:val="en-GB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80D4A" w:rsidRDefault="0051670C" w:rsidP="00EB4F4A">
            <w:pPr>
              <w:ind w:right="127"/>
              <w:jc w:val="center"/>
              <w:rPr>
                <w:rFonts w:eastAsia="Arial Unicode MS"/>
                <w:b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AA3E8C">
            <w:pPr>
              <w:ind w:left="76"/>
              <w:rPr>
                <w:rFonts w:eastAsia="Arial Unicode MS"/>
                <w:bCs/>
                <w:lang w:val="en-GB"/>
              </w:rPr>
            </w:pPr>
          </w:p>
        </w:tc>
      </w:tr>
      <w:tr w:rsidR="0051670C" w:rsidRPr="00A22BFE" w:rsidTr="0051670C">
        <w:trPr>
          <w:trHeight w:val="645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jc w:val="center"/>
              <w:rPr>
                <w:rFonts w:eastAsia="Arial Unicode MS"/>
                <w:b/>
                <w:lang w:val="en-GB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rPr>
                <w:rFonts w:eastAsia="Arial Unicode MS"/>
                <w:b/>
                <w:bCs/>
                <w:lang w:val="en-GB"/>
              </w:rPr>
            </w:pPr>
            <w:r w:rsidRPr="00A22BFE">
              <w:rPr>
                <w:b/>
                <w:bCs/>
                <w:lang w:val="en-GB"/>
              </w:rPr>
              <w:t>TOTAL: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91549D">
            <w:pPr>
              <w:ind w:right="127"/>
              <w:jc w:val="center"/>
              <w:rPr>
                <w:rFonts w:eastAsia="Arial Unicode MS"/>
                <w:b/>
                <w:bCs/>
                <w:lang w:val="en-GB"/>
              </w:rPr>
            </w:pPr>
            <w:r w:rsidRPr="00A22BFE">
              <w:rPr>
                <w:b/>
                <w:i/>
                <w:lang w:val="en-GB"/>
              </w:rPr>
              <w:t>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670C" w:rsidRPr="00A22BFE" w:rsidRDefault="0051670C" w:rsidP="00531A6A">
            <w:pPr>
              <w:ind w:left="76"/>
              <w:rPr>
                <w:rFonts w:eastAsia="Arial Unicode MS"/>
                <w:b/>
                <w:bCs/>
                <w:lang w:val="en-GB"/>
              </w:rPr>
            </w:pPr>
            <w:r w:rsidRPr="00A22BFE">
              <w:rPr>
                <w:b/>
                <w:bCs/>
                <w:lang w:val="en-GB"/>
              </w:rPr>
              <w:t> </w:t>
            </w:r>
          </w:p>
        </w:tc>
      </w:tr>
    </w:tbl>
    <w:p w:rsidR="00E00DA6" w:rsidRDefault="00E00DA6" w:rsidP="003B74BF">
      <w:pPr>
        <w:tabs>
          <w:tab w:val="left" w:pos="2385"/>
        </w:tabs>
        <w:rPr>
          <w:lang w:val="en-GB"/>
        </w:rPr>
      </w:pPr>
    </w:p>
    <w:p w:rsidR="009D5D7E" w:rsidRPr="0051670C" w:rsidRDefault="003B74BF" w:rsidP="00E00DA6">
      <w:pPr>
        <w:tabs>
          <w:tab w:val="left" w:pos="2385"/>
        </w:tabs>
        <w:rPr>
          <w:lang w:val="en-GB"/>
        </w:rPr>
      </w:pPr>
      <w:r w:rsidRPr="003B74BF">
        <w:rPr>
          <w:lang w:val="en-GB"/>
        </w:rPr>
        <w:t xml:space="preserve"> </w:t>
      </w:r>
      <w:r w:rsidR="00E00DA6">
        <w:rPr>
          <w:rFonts w:eastAsia="Arial Unicode MS"/>
          <w:b/>
          <w:bCs/>
          <w:i/>
          <w:lang w:val="en-GB"/>
        </w:rPr>
        <w:t xml:space="preserve"> </w:t>
      </w:r>
    </w:p>
    <w:sectPr w:rsidR="009D5D7E" w:rsidRPr="0051670C" w:rsidSect="00A36E82">
      <w:headerReference w:type="default" r:id="rId7"/>
      <w:footerReference w:type="default" r:id="rId8"/>
      <w:headerReference w:type="first" r:id="rId9"/>
      <w:type w:val="continuous"/>
      <w:pgSz w:w="11907" w:h="16840" w:code="9"/>
      <w:pgMar w:top="617" w:right="1304" w:bottom="540" w:left="1418" w:header="425" w:footer="8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D31" w:rsidRDefault="004F6D31">
      <w:r>
        <w:separator/>
      </w:r>
    </w:p>
  </w:endnote>
  <w:endnote w:type="continuationSeparator" w:id="0">
    <w:p w:rsidR="004F6D31" w:rsidRDefault="004F6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9B4" w:rsidRDefault="00C431A8" w:rsidP="00115E6C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214"/>
      </w:tabs>
      <w:ind w:right="-57"/>
      <w:jc w:val="center"/>
    </w:pPr>
    <w:r>
      <w:rPr>
        <w:rStyle w:val="slostrnky"/>
        <w:iCs/>
      </w:rPr>
      <w:t>Page</w:t>
    </w:r>
    <w:r w:rsidR="001B49B4">
      <w:rPr>
        <w:rStyle w:val="slostrnky"/>
        <w:i/>
      </w:rPr>
      <w:t xml:space="preserve"> </w:t>
    </w:r>
    <w:r w:rsidR="001B49B4">
      <w:rPr>
        <w:rStyle w:val="slostrnky"/>
      </w:rPr>
      <w:fldChar w:fldCharType="begin"/>
    </w:r>
    <w:r w:rsidR="001B49B4">
      <w:rPr>
        <w:rStyle w:val="slostrnky"/>
      </w:rPr>
      <w:instrText xml:space="preserve"> PAGE </w:instrText>
    </w:r>
    <w:r w:rsidR="001B49B4">
      <w:rPr>
        <w:rStyle w:val="slostrnky"/>
      </w:rPr>
      <w:fldChar w:fldCharType="separate"/>
    </w:r>
    <w:r w:rsidR="009556B1">
      <w:rPr>
        <w:rStyle w:val="slostrnky"/>
        <w:noProof/>
      </w:rPr>
      <w:t>1</w:t>
    </w:r>
    <w:r w:rsidR="001B49B4">
      <w:rPr>
        <w:rStyle w:val="slostrnky"/>
      </w:rPr>
      <w:fldChar w:fldCharType="end"/>
    </w:r>
    <w:r>
      <w:rPr>
        <w:rStyle w:val="slostrnky"/>
      </w:rPr>
      <w:t xml:space="preserve"> of</w:t>
    </w:r>
    <w:r w:rsidR="001B49B4">
      <w:rPr>
        <w:rStyle w:val="slostrnky"/>
      </w:rPr>
      <w:t xml:space="preserve"> </w:t>
    </w:r>
    <w:r w:rsidR="001B49B4">
      <w:rPr>
        <w:rStyle w:val="slostrnky"/>
      </w:rPr>
      <w:fldChar w:fldCharType="begin"/>
    </w:r>
    <w:r w:rsidR="001B49B4">
      <w:rPr>
        <w:rStyle w:val="slostrnky"/>
      </w:rPr>
      <w:instrText xml:space="preserve"> NUMPAGES </w:instrText>
    </w:r>
    <w:r w:rsidR="001B49B4">
      <w:rPr>
        <w:rStyle w:val="slostrnky"/>
      </w:rPr>
      <w:fldChar w:fldCharType="separate"/>
    </w:r>
    <w:r w:rsidR="009556B1">
      <w:rPr>
        <w:rStyle w:val="slostrnky"/>
        <w:noProof/>
      </w:rPr>
      <w:t>1</w:t>
    </w:r>
    <w:r w:rsidR="001B49B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D31" w:rsidRDefault="004F6D31">
      <w:r>
        <w:separator/>
      </w:r>
    </w:p>
  </w:footnote>
  <w:footnote w:type="continuationSeparator" w:id="0">
    <w:p w:rsidR="004F6D31" w:rsidRDefault="004F6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3261"/>
      <w:gridCol w:w="2268"/>
      <w:gridCol w:w="2551"/>
    </w:tblGrid>
    <w:tr w:rsidR="001B49B4" w:rsidRPr="00C431A8" w:rsidTr="009556B1">
      <w:trPr>
        <w:cantSplit/>
        <w:trHeight w:val="410"/>
      </w:trPr>
      <w:tc>
        <w:tcPr>
          <w:tcW w:w="4465" w:type="dxa"/>
          <w:gridSpan w:val="2"/>
          <w:vAlign w:val="center"/>
        </w:tcPr>
        <w:p w:rsidR="001B49B4" w:rsidRPr="00C431A8" w:rsidRDefault="009556B1">
          <w:pPr>
            <w:spacing w:before="60"/>
            <w:jc w:val="center"/>
            <w:rPr>
              <w:lang w:val="en-GB"/>
            </w:rPr>
          </w:pPr>
          <w:r w:rsidRPr="009556B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>
                <wp:extent cx="1778635" cy="7683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8635" cy="768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gridSpan w:val="2"/>
          <w:vAlign w:val="center"/>
        </w:tcPr>
        <w:p w:rsidR="001B49B4" w:rsidRPr="00C431A8" w:rsidRDefault="007C2A8C">
          <w:pPr>
            <w:spacing w:before="180"/>
            <w:jc w:val="center"/>
            <w:rPr>
              <w:b/>
              <w:i/>
              <w:sz w:val="28"/>
              <w:lang w:val="en-GB"/>
            </w:rPr>
          </w:pPr>
          <w:r w:rsidRPr="007C2A8C">
            <w:rPr>
              <w:b/>
              <w:i/>
              <w:sz w:val="28"/>
              <w:lang w:val="en-GB"/>
            </w:rPr>
            <w:t>The Price Break-down and Invocing calendar:</w:t>
          </w:r>
        </w:p>
      </w:tc>
    </w:tr>
    <w:tr w:rsidR="001B49B4" w:rsidRPr="00C431A8" w:rsidTr="009556B1">
      <w:trPr>
        <w:cantSplit/>
        <w:trHeight w:val="356"/>
      </w:trPr>
      <w:tc>
        <w:tcPr>
          <w:tcW w:w="1204" w:type="dxa"/>
        </w:tcPr>
        <w:p w:rsidR="001B49B4" w:rsidRPr="00C431A8" w:rsidRDefault="00C431A8">
          <w:pPr>
            <w:pStyle w:val="Zhlavpedepsan"/>
            <w:rPr>
              <w:lang w:val="en-GB"/>
            </w:rPr>
          </w:pPr>
          <w:r>
            <w:rPr>
              <w:lang w:val="en-GB"/>
            </w:rPr>
            <w:t>Customer</w:t>
          </w:r>
          <w:r w:rsidR="001B49B4" w:rsidRPr="00C431A8">
            <w:rPr>
              <w:lang w:val="en-GB"/>
            </w:rPr>
            <w:t xml:space="preserve">: </w:t>
          </w:r>
        </w:p>
      </w:tc>
      <w:tc>
        <w:tcPr>
          <w:tcW w:w="3261" w:type="dxa"/>
        </w:tcPr>
        <w:p w:rsidR="001B49B4" w:rsidRPr="009556B1" w:rsidRDefault="006E4C99" w:rsidP="009556B1">
          <w:pPr>
            <w:pStyle w:val="Zhlavpedepsan"/>
            <w:rPr>
              <w:i w:val="0"/>
              <w:iCs/>
              <w:lang w:val="pl-PL"/>
            </w:rPr>
          </w:pPr>
          <w:r w:rsidRPr="009556B1">
            <w:rPr>
              <w:i w:val="0"/>
              <w:iCs/>
              <w:lang w:val="pl-PL"/>
            </w:rPr>
            <w:t xml:space="preserve">ORLEN </w:t>
          </w:r>
          <w:r w:rsidR="009556B1" w:rsidRPr="009556B1">
            <w:rPr>
              <w:i w:val="0"/>
              <w:iCs/>
              <w:lang w:val="pl-PL"/>
            </w:rPr>
            <w:t>Projekt Česká republika s.r.o.</w:t>
          </w:r>
        </w:p>
      </w:tc>
      <w:tc>
        <w:tcPr>
          <w:tcW w:w="2268" w:type="dxa"/>
        </w:tcPr>
        <w:p w:rsidR="001B49B4" w:rsidRPr="00C431A8" w:rsidRDefault="00C431A8">
          <w:pPr>
            <w:pStyle w:val="Zhlavpedepsan"/>
            <w:rPr>
              <w:lang w:val="en-GB"/>
            </w:rPr>
          </w:pPr>
          <w:r>
            <w:rPr>
              <w:lang w:val="en-GB"/>
            </w:rPr>
            <w:t>Customer’s reference No</w:t>
          </w:r>
          <w:r w:rsidR="001B49B4" w:rsidRPr="00C431A8">
            <w:rPr>
              <w:lang w:val="en-GB"/>
            </w:rPr>
            <w:t xml:space="preserve">: </w:t>
          </w:r>
        </w:p>
      </w:tc>
      <w:tc>
        <w:tcPr>
          <w:tcW w:w="2551" w:type="dxa"/>
        </w:tcPr>
        <w:p w:rsidR="001B49B4" w:rsidRPr="00C431A8" w:rsidRDefault="001B49B4">
          <w:pPr>
            <w:pStyle w:val="Zhlavpedepsan"/>
            <w:jc w:val="center"/>
            <w:rPr>
              <w:i w:val="0"/>
              <w:iCs/>
              <w:lang w:val="en-GB"/>
            </w:rPr>
          </w:pPr>
        </w:p>
      </w:tc>
    </w:tr>
    <w:tr w:rsidR="001B49B4" w:rsidRPr="00C431A8" w:rsidTr="009556B1">
      <w:trPr>
        <w:cantSplit/>
        <w:trHeight w:val="357"/>
      </w:trPr>
      <w:tc>
        <w:tcPr>
          <w:tcW w:w="1204" w:type="dxa"/>
        </w:tcPr>
        <w:p w:rsidR="001B49B4" w:rsidRPr="00C431A8" w:rsidRDefault="001B49B4" w:rsidP="00C431A8">
          <w:pPr>
            <w:pStyle w:val="Zhlavpedepsan"/>
            <w:rPr>
              <w:lang w:val="en-GB"/>
            </w:rPr>
          </w:pPr>
          <w:r w:rsidRPr="00C431A8">
            <w:rPr>
              <w:lang w:val="en-GB"/>
            </w:rPr>
            <w:t xml:space="preserve"> </w:t>
          </w:r>
          <w:r w:rsidR="00C431A8">
            <w:rPr>
              <w:lang w:val="en-GB"/>
            </w:rPr>
            <w:t>Contractor</w:t>
          </w:r>
          <w:r w:rsidRPr="00C431A8">
            <w:rPr>
              <w:lang w:val="en-GB"/>
            </w:rPr>
            <w:t>:</w:t>
          </w:r>
        </w:p>
      </w:tc>
      <w:tc>
        <w:tcPr>
          <w:tcW w:w="3261" w:type="dxa"/>
        </w:tcPr>
        <w:p w:rsidR="001B49B4" w:rsidRPr="00C431A8" w:rsidRDefault="00902319" w:rsidP="00C431A8">
          <w:pPr>
            <w:pStyle w:val="Zhlavpedepsan"/>
            <w:rPr>
              <w:i w:val="0"/>
              <w:iCs/>
              <w:lang w:val="en-GB"/>
            </w:rPr>
          </w:pPr>
          <w:r w:rsidRPr="00C431A8">
            <w:rPr>
              <w:i w:val="0"/>
              <w:sz w:val="24"/>
              <w:szCs w:val="24"/>
              <w:highlight w:val="yellow"/>
              <w:lang w:val="en-GB"/>
            </w:rPr>
            <w:t>[</w:t>
          </w:r>
          <w:r w:rsidR="00C431A8">
            <w:rPr>
              <w:i w:val="0"/>
              <w:sz w:val="24"/>
              <w:szCs w:val="24"/>
              <w:highlight w:val="yellow"/>
              <w:lang w:val="en-GB"/>
            </w:rPr>
            <w:t>the bidder to amend</w:t>
          </w:r>
          <w:r w:rsidRPr="00C431A8">
            <w:rPr>
              <w:i w:val="0"/>
              <w:sz w:val="24"/>
              <w:szCs w:val="24"/>
              <w:highlight w:val="yellow"/>
              <w:lang w:val="en-GB"/>
            </w:rPr>
            <w:t>]</w:t>
          </w:r>
        </w:p>
      </w:tc>
      <w:tc>
        <w:tcPr>
          <w:tcW w:w="2268" w:type="dxa"/>
        </w:tcPr>
        <w:p w:rsidR="001B49B4" w:rsidRPr="00C431A8" w:rsidRDefault="00C431A8">
          <w:pPr>
            <w:pStyle w:val="Zhlavpedepsan"/>
            <w:rPr>
              <w:lang w:val="en-GB"/>
            </w:rPr>
          </w:pPr>
          <w:r>
            <w:rPr>
              <w:lang w:val="en-GB"/>
            </w:rPr>
            <w:t>Contractor’s reference No:</w:t>
          </w:r>
        </w:p>
      </w:tc>
      <w:tc>
        <w:tcPr>
          <w:tcW w:w="2551" w:type="dxa"/>
          <w:vAlign w:val="center"/>
        </w:tcPr>
        <w:p w:rsidR="001B49B4" w:rsidRPr="00C431A8" w:rsidRDefault="00902319" w:rsidP="00C431A8">
          <w:pPr>
            <w:jc w:val="center"/>
            <w:rPr>
              <w:sz w:val="20"/>
              <w:lang w:val="en-GB"/>
            </w:rPr>
          </w:pPr>
          <w:r w:rsidRPr="00C431A8">
            <w:rPr>
              <w:highlight w:val="yellow"/>
              <w:lang w:val="en-GB"/>
            </w:rPr>
            <w:t>[</w:t>
          </w:r>
          <w:r w:rsidR="00C431A8">
            <w:rPr>
              <w:highlight w:val="yellow"/>
              <w:lang w:val="en-GB"/>
            </w:rPr>
            <w:t>the bidder to amend</w:t>
          </w:r>
          <w:r w:rsidRPr="00C431A8">
            <w:rPr>
              <w:highlight w:val="yellow"/>
              <w:lang w:val="en-GB"/>
            </w:rPr>
            <w:t>]</w:t>
          </w:r>
        </w:p>
      </w:tc>
    </w:tr>
  </w:tbl>
  <w:p w:rsidR="001B49B4" w:rsidRDefault="001B49B4">
    <w:pPr>
      <w:pStyle w:val="Zhlav"/>
    </w:pPr>
  </w:p>
  <w:p w:rsidR="001B49B4" w:rsidRPr="00C431A8" w:rsidRDefault="001B49B4" w:rsidP="00115E6C">
    <w:pPr>
      <w:pStyle w:val="Zhlav"/>
      <w:rPr>
        <w:rFonts w:ascii="Arial" w:hAnsi="Arial" w:cs="Arial"/>
        <w:b/>
        <w:bCs/>
        <w:sz w:val="28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9B4" w:rsidRDefault="001B49B4">
    <w:pPr>
      <w:pStyle w:val="Zhlav"/>
    </w:pPr>
    <w:r>
      <w:t>Chemopetrol, a.s.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44" w:legacyIndent="0"/>
      <w:lvlJc w:val="left"/>
      <w:rPr>
        <w:sz w:val="22"/>
      </w:rPr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08424E4"/>
    <w:multiLevelType w:val="hybridMultilevel"/>
    <w:tmpl w:val="30CEC6FA"/>
    <w:lvl w:ilvl="0" w:tplc="A7C8381E">
      <w:start w:val="2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C077D34"/>
    <w:multiLevelType w:val="hybridMultilevel"/>
    <w:tmpl w:val="6F1C1822"/>
    <w:lvl w:ilvl="0" w:tplc="FFC4C642">
      <w:start w:val="1"/>
      <w:numFmt w:val="decimal"/>
      <w:lvlText w:val="%1."/>
      <w:lvlJc w:val="left"/>
      <w:pPr>
        <w:tabs>
          <w:tab w:val="num" w:pos="459"/>
        </w:tabs>
        <w:ind w:left="4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79"/>
        </w:tabs>
        <w:ind w:left="117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99"/>
        </w:tabs>
        <w:ind w:left="189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19"/>
        </w:tabs>
        <w:ind w:left="261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39"/>
        </w:tabs>
        <w:ind w:left="333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59"/>
        </w:tabs>
        <w:ind w:left="405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79"/>
        </w:tabs>
        <w:ind w:left="477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99"/>
        </w:tabs>
        <w:ind w:left="549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19"/>
        </w:tabs>
        <w:ind w:left="6219" w:hanging="180"/>
      </w:pPr>
    </w:lvl>
  </w:abstractNum>
  <w:abstractNum w:abstractNumId="3" w15:restartNumberingAfterBreak="0">
    <w:nsid w:val="62F52A83"/>
    <w:multiLevelType w:val="hybridMultilevel"/>
    <w:tmpl w:val="2DAA3F5A"/>
    <w:lvl w:ilvl="0" w:tplc="E2240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65"/>
    <w:rsid w:val="00013AB0"/>
    <w:rsid w:val="00023E4A"/>
    <w:rsid w:val="00033EBE"/>
    <w:rsid w:val="00034CD6"/>
    <w:rsid w:val="00046E7A"/>
    <w:rsid w:val="00060093"/>
    <w:rsid w:val="00061D86"/>
    <w:rsid w:val="000A5C3E"/>
    <w:rsid w:val="000B1BE8"/>
    <w:rsid w:val="000D7B1C"/>
    <w:rsid w:val="00106E0A"/>
    <w:rsid w:val="00115338"/>
    <w:rsid w:val="00115958"/>
    <w:rsid w:val="00115E6C"/>
    <w:rsid w:val="00135051"/>
    <w:rsid w:val="001761D0"/>
    <w:rsid w:val="00181BFA"/>
    <w:rsid w:val="00192A0A"/>
    <w:rsid w:val="001B281F"/>
    <w:rsid w:val="001B49B4"/>
    <w:rsid w:val="001D50A0"/>
    <w:rsid w:val="001F3B46"/>
    <w:rsid w:val="0021712C"/>
    <w:rsid w:val="00280C17"/>
    <w:rsid w:val="00283D98"/>
    <w:rsid w:val="002A2F6F"/>
    <w:rsid w:val="002A4E63"/>
    <w:rsid w:val="002B521E"/>
    <w:rsid w:val="002B5672"/>
    <w:rsid w:val="002C20AA"/>
    <w:rsid w:val="002D4480"/>
    <w:rsid w:val="002F4603"/>
    <w:rsid w:val="002F6042"/>
    <w:rsid w:val="003078AD"/>
    <w:rsid w:val="003273CA"/>
    <w:rsid w:val="00347E16"/>
    <w:rsid w:val="003B5F4F"/>
    <w:rsid w:val="003B74BF"/>
    <w:rsid w:val="003C39D0"/>
    <w:rsid w:val="003E6E79"/>
    <w:rsid w:val="0040508E"/>
    <w:rsid w:val="004222DD"/>
    <w:rsid w:val="00447B6A"/>
    <w:rsid w:val="00462CDA"/>
    <w:rsid w:val="00474CF8"/>
    <w:rsid w:val="004A2D85"/>
    <w:rsid w:val="004B33AC"/>
    <w:rsid w:val="004C52AA"/>
    <w:rsid w:val="004E2E56"/>
    <w:rsid w:val="004F6289"/>
    <w:rsid w:val="004F6D31"/>
    <w:rsid w:val="0051670C"/>
    <w:rsid w:val="00531145"/>
    <w:rsid w:val="00531A6A"/>
    <w:rsid w:val="00543870"/>
    <w:rsid w:val="00575465"/>
    <w:rsid w:val="00585470"/>
    <w:rsid w:val="005C0366"/>
    <w:rsid w:val="005C1DA7"/>
    <w:rsid w:val="005D2E83"/>
    <w:rsid w:val="006215F8"/>
    <w:rsid w:val="00644F36"/>
    <w:rsid w:val="00653548"/>
    <w:rsid w:val="00681F85"/>
    <w:rsid w:val="00684F8C"/>
    <w:rsid w:val="006968F6"/>
    <w:rsid w:val="006A09C7"/>
    <w:rsid w:val="006A207F"/>
    <w:rsid w:val="006A2909"/>
    <w:rsid w:val="006B26B6"/>
    <w:rsid w:val="006E4C99"/>
    <w:rsid w:val="006F1265"/>
    <w:rsid w:val="006F3310"/>
    <w:rsid w:val="007064DE"/>
    <w:rsid w:val="007548EA"/>
    <w:rsid w:val="00775FB9"/>
    <w:rsid w:val="00782950"/>
    <w:rsid w:val="007877E6"/>
    <w:rsid w:val="007A1BB4"/>
    <w:rsid w:val="007C2A8C"/>
    <w:rsid w:val="00803A40"/>
    <w:rsid w:val="00805DC8"/>
    <w:rsid w:val="00807B89"/>
    <w:rsid w:val="00812B71"/>
    <w:rsid w:val="00825192"/>
    <w:rsid w:val="008342BC"/>
    <w:rsid w:val="00837617"/>
    <w:rsid w:val="008406CD"/>
    <w:rsid w:val="008429C6"/>
    <w:rsid w:val="00853D8B"/>
    <w:rsid w:val="00854BE4"/>
    <w:rsid w:val="008561E8"/>
    <w:rsid w:val="008808F7"/>
    <w:rsid w:val="00885A15"/>
    <w:rsid w:val="00894135"/>
    <w:rsid w:val="008B3162"/>
    <w:rsid w:val="008C501B"/>
    <w:rsid w:val="008C6AD3"/>
    <w:rsid w:val="008E6DF1"/>
    <w:rsid w:val="00902319"/>
    <w:rsid w:val="00903D6E"/>
    <w:rsid w:val="0091549D"/>
    <w:rsid w:val="00931AAE"/>
    <w:rsid w:val="00941C89"/>
    <w:rsid w:val="00952E43"/>
    <w:rsid w:val="009556B1"/>
    <w:rsid w:val="009569B4"/>
    <w:rsid w:val="00962C06"/>
    <w:rsid w:val="009731DB"/>
    <w:rsid w:val="00975C34"/>
    <w:rsid w:val="00990E4E"/>
    <w:rsid w:val="00992179"/>
    <w:rsid w:val="009B52A0"/>
    <w:rsid w:val="009C1CFF"/>
    <w:rsid w:val="009C264C"/>
    <w:rsid w:val="009D5D7E"/>
    <w:rsid w:val="009F4C75"/>
    <w:rsid w:val="00A14C79"/>
    <w:rsid w:val="00A22BFE"/>
    <w:rsid w:val="00A36E82"/>
    <w:rsid w:val="00A4032E"/>
    <w:rsid w:val="00A63572"/>
    <w:rsid w:val="00A6373C"/>
    <w:rsid w:val="00A673A3"/>
    <w:rsid w:val="00A765B6"/>
    <w:rsid w:val="00A80D4A"/>
    <w:rsid w:val="00A8120D"/>
    <w:rsid w:val="00A82506"/>
    <w:rsid w:val="00A836F3"/>
    <w:rsid w:val="00A96766"/>
    <w:rsid w:val="00AA3E8C"/>
    <w:rsid w:val="00AB1BFC"/>
    <w:rsid w:val="00AC2677"/>
    <w:rsid w:val="00AC5492"/>
    <w:rsid w:val="00B1527E"/>
    <w:rsid w:val="00B4297B"/>
    <w:rsid w:val="00B64B2B"/>
    <w:rsid w:val="00B65A79"/>
    <w:rsid w:val="00B66B3F"/>
    <w:rsid w:val="00BC6961"/>
    <w:rsid w:val="00BD1EF0"/>
    <w:rsid w:val="00BD2721"/>
    <w:rsid w:val="00BE3C10"/>
    <w:rsid w:val="00BF502E"/>
    <w:rsid w:val="00C32D04"/>
    <w:rsid w:val="00C348CC"/>
    <w:rsid w:val="00C36DE2"/>
    <w:rsid w:val="00C431A8"/>
    <w:rsid w:val="00C61A76"/>
    <w:rsid w:val="00C87957"/>
    <w:rsid w:val="00C9558B"/>
    <w:rsid w:val="00CC319E"/>
    <w:rsid w:val="00CC4FD2"/>
    <w:rsid w:val="00CE0877"/>
    <w:rsid w:val="00CE4004"/>
    <w:rsid w:val="00CF277A"/>
    <w:rsid w:val="00CF4D02"/>
    <w:rsid w:val="00D147D9"/>
    <w:rsid w:val="00D347A4"/>
    <w:rsid w:val="00D44DFC"/>
    <w:rsid w:val="00D633EB"/>
    <w:rsid w:val="00D6639C"/>
    <w:rsid w:val="00D67D7D"/>
    <w:rsid w:val="00D749B0"/>
    <w:rsid w:val="00D77D2C"/>
    <w:rsid w:val="00DA1C12"/>
    <w:rsid w:val="00DB260B"/>
    <w:rsid w:val="00DE36FC"/>
    <w:rsid w:val="00E00DA6"/>
    <w:rsid w:val="00E237AE"/>
    <w:rsid w:val="00E513C1"/>
    <w:rsid w:val="00E74F0E"/>
    <w:rsid w:val="00E94F77"/>
    <w:rsid w:val="00EB4F4A"/>
    <w:rsid w:val="00EB759F"/>
    <w:rsid w:val="00EC0705"/>
    <w:rsid w:val="00EC1094"/>
    <w:rsid w:val="00EC36B2"/>
    <w:rsid w:val="00ED1894"/>
    <w:rsid w:val="00ED7AD2"/>
    <w:rsid w:val="00EE6F44"/>
    <w:rsid w:val="00EE7A89"/>
    <w:rsid w:val="00F02FD7"/>
    <w:rsid w:val="00F040D5"/>
    <w:rsid w:val="00F05467"/>
    <w:rsid w:val="00F30DE4"/>
    <w:rsid w:val="00F464A1"/>
    <w:rsid w:val="00F46D1A"/>
    <w:rsid w:val="00F572FF"/>
    <w:rsid w:val="00F6614F"/>
    <w:rsid w:val="00F757D0"/>
    <w:rsid w:val="00F93ED6"/>
    <w:rsid w:val="00FA1A74"/>
    <w:rsid w:val="00FA69B9"/>
    <w:rsid w:val="00FB4D13"/>
    <w:rsid w:val="00FB6E35"/>
    <w:rsid w:val="00FD5329"/>
    <w:rsid w:val="00FE1478"/>
    <w:rsid w:val="00FF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E9BEF5"/>
  <w15:docId w15:val="{D95D9F2E-4A69-4AC0-A163-A1A3FB85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3261"/>
      </w:tabs>
      <w:spacing w:before="720" w:after="120"/>
      <w:jc w:val="both"/>
      <w:outlineLvl w:val="0"/>
    </w:pPr>
    <w:rPr>
      <w:b/>
      <w:caps/>
      <w:kern w:val="28"/>
      <w:sz w:val="2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480" w:after="120"/>
      <w:jc w:val="both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pageBreakBefore/>
      <w:spacing w:before="360"/>
      <w:jc w:val="center"/>
    </w:pPr>
    <w:rPr>
      <w:b/>
      <w:caps/>
      <w:sz w:val="28"/>
      <w:szCs w:val="20"/>
    </w:rPr>
  </w:style>
  <w:style w:type="paragraph" w:styleId="Zkladntextodsazen2">
    <w:name w:val="Body Text Indent 2"/>
    <w:basedOn w:val="Normln"/>
    <w:pPr>
      <w:ind w:left="284"/>
      <w:jc w:val="both"/>
    </w:pPr>
    <w:rPr>
      <w:sz w:val="20"/>
      <w:szCs w:val="20"/>
    </w:rPr>
  </w:style>
  <w:style w:type="paragraph" w:styleId="Textkomente">
    <w:name w:val="annotation text"/>
    <w:basedOn w:val="Normln"/>
    <w:link w:val="TextkomenteChar"/>
    <w:semiHidden/>
    <w:pPr>
      <w:jc w:val="both"/>
    </w:pPr>
    <w:rPr>
      <w:sz w:val="20"/>
      <w:szCs w:val="20"/>
    </w:rPr>
  </w:style>
  <w:style w:type="paragraph" w:styleId="Zkladntextodsazen3">
    <w:name w:val="Body Text Indent 3"/>
    <w:basedOn w:val="Normln"/>
    <w:pPr>
      <w:ind w:left="709"/>
    </w:pPr>
    <w:rPr>
      <w:sz w:val="20"/>
      <w:szCs w:val="20"/>
    </w:rPr>
  </w:style>
  <w:style w:type="paragraph" w:styleId="Zkladntextodsazen">
    <w:name w:val="Body Text Indent"/>
    <w:basedOn w:val="Normln"/>
    <w:pPr>
      <w:ind w:left="1134" w:hanging="1134"/>
      <w:jc w:val="both"/>
    </w:pPr>
    <w:rPr>
      <w:sz w:val="20"/>
      <w:szCs w:val="20"/>
    </w:rPr>
  </w:style>
  <w:style w:type="paragraph" w:customStyle="1" w:styleId="zklodstavec">
    <w:name w:val="zákl. odstavec"/>
    <w:basedOn w:val="Normln"/>
    <w:pPr>
      <w:spacing w:after="120" w:line="240" w:lineRule="atLeast"/>
      <w:ind w:left="851"/>
      <w:jc w:val="both"/>
    </w:pPr>
    <w:rPr>
      <w:sz w:val="22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jc w:val="both"/>
    </w:pPr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tabs>
        <w:tab w:val="left" w:pos="1620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Zhlavpedepsan">
    <w:name w:val="Záhlaví předepsané"/>
    <w:basedOn w:val="Zhlav"/>
    <w:pPr>
      <w:spacing w:before="60"/>
      <w:jc w:val="left"/>
    </w:pPr>
    <w:rPr>
      <w:i/>
      <w:noProof/>
    </w:rPr>
  </w:style>
  <w:style w:type="paragraph" w:customStyle="1" w:styleId="Odstavecseseznamem1">
    <w:name w:val="Odstavec se seznamem1"/>
    <w:basedOn w:val="Normln"/>
    <w:rsid w:val="00885A15"/>
    <w:pPr>
      <w:ind w:left="720"/>
      <w:contextualSpacing/>
    </w:pPr>
  </w:style>
  <w:style w:type="character" w:styleId="Hypertextovodkaz">
    <w:name w:val="Hyperlink"/>
    <w:rsid w:val="00885A15"/>
    <w:rPr>
      <w:rFonts w:cs="Times New Roman"/>
      <w:color w:val="0000FF"/>
      <w:u w:val="single"/>
    </w:rPr>
  </w:style>
  <w:style w:type="paragraph" w:styleId="Normlnweb">
    <w:name w:val="Normal (Web)"/>
    <w:basedOn w:val="Normln"/>
    <w:rsid w:val="00CC4FD2"/>
    <w:pPr>
      <w:spacing w:before="100" w:beforeAutospacing="1" w:after="119"/>
    </w:pPr>
  </w:style>
  <w:style w:type="character" w:styleId="Odkaznakoment">
    <w:name w:val="annotation reference"/>
    <w:semiHidden/>
    <w:rsid w:val="00CC4FD2"/>
    <w:rPr>
      <w:sz w:val="16"/>
      <w:szCs w:val="16"/>
    </w:rPr>
  </w:style>
  <w:style w:type="character" w:customStyle="1" w:styleId="TextkomenteChar">
    <w:name w:val="Text komentáře Char"/>
    <w:link w:val="Textkomente"/>
    <w:semiHidden/>
    <w:locked/>
    <w:rsid w:val="00CC4FD2"/>
    <w:rPr>
      <w:lang w:val="cs-CZ" w:eastAsia="cs-CZ" w:bidi="ar-SA"/>
    </w:rPr>
  </w:style>
  <w:style w:type="paragraph" w:styleId="Textbubliny">
    <w:name w:val="Balloon Text"/>
    <w:basedOn w:val="Normln"/>
    <w:semiHidden/>
    <w:rsid w:val="00CC4FD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1761D0"/>
    <w:pPr>
      <w:jc w:val="left"/>
    </w:pPr>
    <w:rPr>
      <w:b/>
      <w:bCs/>
    </w:rPr>
  </w:style>
  <w:style w:type="character" w:customStyle="1" w:styleId="PedmtkomenteChar">
    <w:name w:val="Předmět komentáře Char"/>
    <w:link w:val="Pedmtkomente"/>
    <w:rsid w:val="001761D0"/>
    <w:rPr>
      <w:b/>
      <w:bCs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754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SOUTĚŽNÍ PODMÍNKY</vt:lpstr>
      <vt:lpstr>SOUTĚŽNÍ PODMÍNKY</vt:lpstr>
    </vt:vector>
  </TitlesOfParts>
  <Company>Chemopetrol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SOUTĚŽNÍ PODMÍNKY</dc:title>
  <dc:creator>Ing. Martin Allert</dc:creator>
  <cp:lastModifiedBy>Musil Zdeněk (UNP-OP)</cp:lastModifiedBy>
  <cp:revision>2</cp:revision>
  <cp:lastPrinted>2014-06-26T08:43:00Z</cp:lastPrinted>
  <dcterms:created xsi:type="dcterms:W3CDTF">2025-06-13T08:30:00Z</dcterms:created>
  <dcterms:modified xsi:type="dcterms:W3CDTF">2025-06-13T08:30:00Z</dcterms:modified>
</cp:coreProperties>
</file>